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站群子站菜单添加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每个站点的管理员，都可以设置自己的导航菜单；菜单上的链接，就是对于本站栏目ID。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B：</w:t>
      </w:r>
      <w:r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  <w:t>后台站群进入方法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超级管理员在系统后台，点击“站群系统”按钮！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drawing>
          <wp:inline distT="0" distB="0" distL="114300" distR="114300">
            <wp:extent cx="6581775" cy="2000250"/>
            <wp:effectExtent l="0" t="0" r="9525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备注说明：需要检查下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如果超级管理员，是管理所有站点，就需要确认是不是自己现在所需站点；站点可以切换！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830" cy="1809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菜单设置入口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进入子站站群后台-----点击子站设置-----点击“本站菜单设置”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830" cy="3021330"/>
            <wp:effectExtent l="0" t="0" r="762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val="en-US" w:eastAsia="zh-CN"/>
        </w:rPr>
        <w:t>菜单设置详情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A：链接和名字的修改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链接上面的数字ID，就是栏目的ID；名称上面可以修改名字；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菜单链接动态样式：{$system_url}/item-list-category-栏目ID数字.html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菜单链接静态样式：{$site_domain}/栏目ID/  比如：{$site_domain}/158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591300" cy="3752850"/>
            <wp:effectExtent l="0" t="0" r="0" b="0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hint="default" w:ascii="Tahoma" w:hAnsi="Tahoma" w:eastAsia="Tahoma" w:cs="Tahoma"/>
          <w:color w:val="00000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B、导航菜单是否新窗口打开：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“勾选”则表示此菜单新窗口打开，默认不选则是母窗口打开！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</w:pPr>
      <w:r>
        <w:drawing>
          <wp:inline distT="0" distB="0" distL="114300" distR="114300">
            <wp:extent cx="6153150" cy="3895725"/>
            <wp:effectExtent l="0" t="0" r="0" b="952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C、导航菜单排序方法：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排序是同级排序，数字大的排在前面，数字的排在后面；填好数据后，点击顶部提交。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一级目录一级目录排序；二级目录内部自己排序。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2735" cy="2827020"/>
            <wp:effectExtent l="0" t="0" r="5715" b="1143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D、批量新增菜单：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如果需要新增二级菜单，就点击某个一级菜单的“批量新增”按钮；可以同时增加很多个菜单，每行加上菜单名字、菜单链接、菜单排序数字。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38925" cy="3378200"/>
            <wp:effectExtent l="0" t="0" r="9525" b="1270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000EBF"/>
          <w:lang w:eastAsia="zh-CN"/>
        </w:rPr>
      </w:pPr>
      <w:r>
        <w:rPr>
          <w:rFonts w:hint="eastAsia"/>
          <w:color w:val="000EBF"/>
          <w:lang w:eastAsia="zh-CN"/>
        </w:rPr>
        <w:t>添加一级菜单入口：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5275" cy="1994535"/>
            <wp:effectExtent l="0" t="0" r="3175" b="5715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E、编辑菜单：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如果需要更细致的修改菜单，可以点击此处编辑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38290" cy="3140075"/>
            <wp:effectExtent l="0" t="0" r="10160" b="317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编辑说明如下：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38290" cy="4392295"/>
            <wp:effectExtent l="0" t="0" r="10160" b="825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E、一级菜单和二级菜单归属填法：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rPr>
          <w:rFonts w:hint="eastAsia"/>
          <w:lang w:eastAsia="zh-CN"/>
        </w:rPr>
        <w:t>如果是一级菜单：此处就选择“顶级菜单”即可！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2100" cy="3199765"/>
            <wp:effectExtent l="0" t="0" r="6350" b="63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rPr>
          <w:rFonts w:hint="eastAsia"/>
          <w:lang w:eastAsia="zh-CN"/>
        </w:rPr>
        <w:t>如果是二级菜单：此处就选择“具体的某个一级菜单，比如学院概况”即可！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37655" cy="3360420"/>
            <wp:effectExtent l="0" t="0" r="10795" b="11430"/>
            <wp:docPr id="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备注：如果修改后，要看到下过，就更新站群系统缓存----静态本站所有栏目和内容---静态子站首页----刷新页面，即可看到效果！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6E12E0"/>
    <w:rsid w:val="168A778C"/>
    <w:rsid w:val="18AF39E7"/>
    <w:rsid w:val="18C153D4"/>
    <w:rsid w:val="18D710D0"/>
    <w:rsid w:val="18EF694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F3006ED"/>
    <w:rsid w:val="600712AE"/>
    <w:rsid w:val="60280E09"/>
    <w:rsid w:val="60C36642"/>
    <w:rsid w:val="6108311F"/>
    <w:rsid w:val="631266A1"/>
    <w:rsid w:val="63B76E36"/>
    <w:rsid w:val="63D87E37"/>
    <w:rsid w:val="640277BE"/>
    <w:rsid w:val="6541544D"/>
    <w:rsid w:val="65A13853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2019-11-08T03:53:42Z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